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50" w:rsidRDefault="00C506B3">
      <w:pPr>
        <w:rPr>
          <w:lang w:val="fr-FR"/>
        </w:rPr>
      </w:pPr>
      <w:r>
        <w:rPr>
          <w:lang w:val="fr-FR"/>
        </w:rPr>
        <w:t>Fête de la Nature 2023</w:t>
      </w:r>
    </w:p>
    <w:p w:rsidR="00C506B3" w:rsidRDefault="00C506B3">
      <w:pPr>
        <w:rPr>
          <w:lang w:val="fr-FR"/>
        </w:rPr>
      </w:pPr>
      <w:r>
        <w:rPr>
          <w:lang w:val="fr-FR"/>
        </w:rPr>
        <w:t xml:space="preserve">A l’occasion de </w:t>
      </w:r>
      <w:r w:rsidR="009432EC">
        <w:rPr>
          <w:lang w:val="fr-FR"/>
        </w:rPr>
        <w:t xml:space="preserve">la Fête de la Nature, </w:t>
      </w:r>
      <w:r>
        <w:rPr>
          <w:lang w:val="fr-FR"/>
        </w:rPr>
        <w:t xml:space="preserve">évènement </w:t>
      </w:r>
      <w:r w:rsidR="006C1F7B">
        <w:rPr>
          <w:lang w:val="fr-FR"/>
        </w:rPr>
        <w:t xml:space="preserve">annuel </w:t>
      </w:r>
      <w:r>
        <w:rPr>
          <w:lang w:val="fr-FR"/>
        </w:rPr>
        <w:t>national</w:t>
      </w:r>
      <w:r w:rsidR="00207652">
        <w:rPr>
          <w:lang w:val="fr-FR"/>
        </w:rPr>
        <w:t xml:space="preserve"> </w:t>
      </w:r>
      <w:r w:rsidR="009432EC">
        <w:rPr>
          <w:lang w:val="fr-FR"/>
        </w:rPr>
        <w:t xml:space="preserve">qui se tiendra du </w:t>
      </w:r>
      <w:r w:rsidR="00207652">
        <w:rPr>
          <w:lang w:val="fr-FR"/>
        </w:rPr>
        <w:t>24</w:t>
      </w:r>
      <w:r w:rsidR="009432EC">
        <w:rPr>
          <w:lang w:val="fr-FR"/>
        </w:rPr>
        <w:t xml:space="preserve"> au </w:t>
      </w:r>
      <w:r w:rsidR="00207652">
        <w:rPr>
          <w:lang w:val="fr-FR"/>
        </w:rPr>
        <w:t>29 mai 2023</w:t>
      </w:r>
      <w:r>
        <w:rPr>
          <w:lang w:val="fr-FR"/>
        </w:rPr>
        <w:t xml:space="preserve">, la commune d’Evran, engagée dans la préservation de la biodiversité, </w:t>
      </w:r>
      <w:r w:rsidR="00095F7A">
        <w:rPr>
          <w:lang w:val="fr-FR"/>
        </w:rPr>
        <w:t>souhaite sensibiliser les habitants sur des e</w:t>
      </w:r>
      <w:r w:rsidR="006C1F7B">
        <w:rPr>
          <w:lang w:val="fr-FR"/>
        </w:rPr>
        <w:t xml:space="preserve">spèces emblématiques :  les </w:t>
      </w:r>
      <w:r>
        <w:rPr>
          <w:lang w:val="fr-FR"/>
        </w:rPr>
        <w:t xml:space="preserve">hirondelles et </w:t>
      </w:r>
      <w:r w:rsidR="006C1F7B">
        <w:rPr>
          <w:lang w:val="fr-FR"/>
        </w:rPr>
        <w:t xml:space="preserve">les </w:t>
      </w:r>
      <w:r>
        <w:rPr>
          <w:lang w:val="fr-FR"/>
        </w:rPr>
        <w:t>martinets. Ces espèces protégées</w:t>
      </w:r>
      <w:r w:rsidR="00095F7A">
        <w:rPr>
          <w:lang w:val="fr-FR"/>
        </w:rPr>
        <w:t xml:space="preserve">, sont </w:t>
      </w:r>
      <w:r>
        <w:rPr>
          <w:lang w:val="fr-FR"/>
        </w:rPr>
        <w:t xml:space="preserve">en nette diminution sur tout le territoire français, il est </w:t>
      </w:r>
      <w:r w:rsidR="009432EC">
        <w:rPr>
          <w:lang w:val="fr-FR"/>
        </w:rPr>
        <w:t xml:space="preserve">donc </w:t>
      </w:r>
      <w:r>
        <w:rPr>
          <w:lang w:val="fr-FR"/>
        </w:rPr>
        <w:t xml:space="preserve">particulièrement </w:t>
      </w:r>
      <w:r w:rsidR="006C1F7B">
        <w:rPr>
          <w:lang w:val="fr-FR"/>
        </w:rPr>
        <w:t xml:space="preserve">important </w:t>
      </w:r>
      <w:r>
        <w:rPr>
          <w:lang w:val="fr-FR"/>
        </w:rPr>
        <w:t>de suivre l’évolution du nombre d’oiseaux présents sur notre territoire et de préserver les nids existants.</w:t>
      </w:r>
    </w:p>
    <w:p w:rsidR="009432EC" w:rsidRPr="00FE2406" w:rsidRDefault="00FE2406" w:rsidP="009432EC">
      <w:pPr>
        <w:rPr>
          <w:lang w:val="fr-FR"/>
        </w:rPr>
      </w:pPr>
      <w:r>
        <w:rPr>
          <w:lang w:val="fr-FR"/>
        </w:rPr>
        <w:t>2</w:t>
      </w:r>
      <w:r w:rsidR="009432EC" w:rsidRPr="00FE2406">
        <w:rPr>
          <w:lang w:val="fr-FR"/>
        </w:rPr>
        <w:t xml:space="preserve"> animations dédiées au comptage des nids d’hirondelles seront organisées </w:t>
      </w:r>
      <w:r>
        <w:rPr>
          <w:lang w:val="fr-FR"/>
        </w:rPr>
        <w:t>à Evran</w:t>
      </w:r>
      <w:r w:rsidR="009432EC" w:rsidRPr="00FE2406">
        <w:rPr>
          <w:lang w:val="fr-FR"/>
        </w:rPr>
        <w:t xml:space="preserve"> </w:t>
      </w:r>
      <w:r w:rsidR="009432EC" w:rsidRPr="00FE2406">
        <w:rPr>
          <w:lang w:val="fr-FR"/>
        </w:rPr>
        <w:t>:</w:t>
      </w:r>
    </w:p>
    <w:p w:rsidR="00C506B3" w:rsidRDefault="00C506B3" w:rsidP="00FE2406">
      <w:pPr>
        <w:pStyle w:val="Paragraphedeliste"/>
        <w:numPr>
          <w:ilvl w:val="0"/>
          <w:numId w:val="2"/>
        </w:numPr>
        <w:rPr>
          <w:lang w:val="fr-FR"/>
        </w:rPr>
      </w:pPr>
      <w:proofErr w:type="gramStart"/>
      <w:r w:rsidRPr="00FE2406">
        <w:rPr>
          <w:b/>
          <w:lang w:val="fr-FR"/>
        </w:rPr>
        <w:t>vendredi</w:t>
      </w:r>
      <w:proofErr w:type="gramEnd"/>
      <w:r w:rsidRPr="00FE2406">
        <w:rPr>
          <w:b/>
          <w:lang w:val="fr-FR"/>
        </w:rPr>
        <w:t xml:space="preserve"> 26/05 après-midi avec des classes des 2 écoles de la commune</w:t>
      </w:r>
      <w:r w:rsidRPr="00FE2406">
        <w:rPr>
          <w:lang w:val="fr-FR"/>
        </w:rPr>
        <w:t xml:space="preserve">. Animée par des bénévoles du Groupement d’Etudes Ornithologiques des Côtes d’Armor et l’association </w:t>
      </w:r>
      <w:proofErr w:type="spellStart"/>
      <w:r w:rsidRPr="00FE2406">
        <w:rPr>
          <w:lang w:val="fr-FR"/>
        </w:rPr>
        <w:t>Vivarmor</w:t>
      </w:r>
      <w:proofErr w:type="spellEnd"/>
      <w:r w:rsidRPr="00FE2406">
        <w:rPr>
          <w:lang w:val="fr-FR"/>
        </w:rPr>
        <w:t xml:space="preserve"> Nature, </w:t>
      </w:r>
      <w:r w:rsidR="006C1F7B" w:rsidRPr="00FE2406">
        <w:rPr>
          <w:lang w:val="fr-FR"/>
        </w:rPr>
        <w:t xml:space="preserve">cette opération a pour objectif de sensibiliser </w:t>
      </w:r>
      <w:r w:rsidRPr="00FE2406">
        <w:rPr>
          <w:lang w:val="fr-FR"/>
        </w:rPr>
        <w:t xml:space="preserve">les enfants </w:t>
      </w:r>
      <w:r w:rsidR="009B6349" w:rsidRPr="00FE2406">
        <w:rPr>
          <w:lang w:val="fr-FR"/>
        </w:rPr>
        <w:t>au rôle essentiel</w:t>
      </w:r>
      <w:r w:rsidRPr="00FE2406">
        <w:rPr>
          <w:lang w:val="fr-FR"/>
        </w:rPr>
        <w:t xml:space="preserve"> de ces oiseaux dans notre environnement </w:t>
      </w:r>
      <w:r w:rsidR="009B6349" w:rsidRPr="00FE2406">
        <w:rPr>
          <w:lang w:val="fr-FR"/>
        </w:rPr>
        <w:t>et à la nécessité de préserver les populations existantes, déjà fortement réduites. Les enfants</w:t>
      </w:r>
      <w:r w:rsidRPr="00FE2406">
        <w:rPr>
          <w:lang w:val="fr-FR"/>
        </w:rPr>
        <w:t xml:space="preserve"> participeront au compt</w:t>
      </w:r>
      <w:bookmarkStart w:id="0" w:name="_GoBack"/>
      <w:bookmarkEnd w:id="0"/>
      <w:r w:rsidRPr="00FE2406">
        <w:rPr>
          <w:lang w:val="fr-FR"/>
        </w:rPr>
        <w:t>age des nids présents dans le bourg.</w:t>
      </w:r>
    </w:p>
    <w:p w:rsidR="00FE2406" w:rsidRDefault="00C506B3" w:rsidP="00FE2406">
      <w:pPr>
        <w:pStyle w:val="Paragraphedeliste"/>
        <w:numPr>
          <w:ilvl w:val="0"/>
          <w:numId w:val="2"/>
        </w:numPr>
        <w:rPr>
          <w:lang w:val="fr-FR"/>
        </w:rPr>
      </w:pPr>
      <w:proofErr w:type="gramStart"/>
      <w:r w:rsidRPr="00FE2406">
        <w:rPr>
          <w:b/>
          <w:lang w:val="fr-FR"/>
        </w:rPr>
        <w:t>samedi</w:t>
      </w:r>
      <w:proofErr w:type="gramEnd"/>
      <w:r w:rsidRPr="00FE2406">
        <w:rPr>
          <w:b/>
          <w:lang w:val="fr-FR"/>
        </w:rPr>
        <w:t xml:space="preserve"> 27/05 de 10h à 12h dans les villages de La Ville </w:t>
      </w:r>
      <w:proofErr w:type="spellStart"/>
      <w:r w:rsidRPr="00FE2406">
        <w:rPr>
          <w:b/>
          <w:lang w:val="fr-FR"/>
        </w:rPr>
        <w:t>Thual</w:t>
      </w:r>
      <w:proofErr w:type="spellEnd"/>
      <w:r w:rsidRPr="00FE2406">
        <w:rPr>
          <w:b/>
          <w:lang w:val="fr-FR"/>
        </w:rPr>
        <w:t xml:space="preserve"> et </w:t>
      </w:r>
      <w:proofErr w:type="spellStart"/>
      <w:r w:rsidRPr="00FE2406">
        <w:rPr>
          <w:b/>
          <w:lang w:val="fr-FR"/>
        </w:rPr>
        <w:t>Grasbuisson</w:t>
      </w:r>
      <w:proofErr w:type="spellEnd"/>
      <w:r w:rsidR="00FE2406">
        <w:rPr>
          <w:lang w:val="fr-FR"/>
        </w:rPr>
        <w:t> : cette opération d’aide à l’identification des oiseaux et de comptage des nids est ouverte à tous et</w:t>
      </w:r>
      <w:r w:rsidRPr="00FE2406">
        <w:rPr>
          <w:lang w:val="fr-FR"/>
        </w:rPr>
        <w:t xml:space="preserve"> sera animée par une élue avec l’appui d’un habitant de ces villages, sensible à la préservation de ces espèces, et déjà impliqué dans leur suivi.</w:t>
      </w:r>
    </w:p>
    <w:p w:rsidR="00C506B3" w:rsidRPr="00FE2406" w:rsidRDefault="00C506B3" w:rsidP="00FE2406">
      <w:pPr>
        <w:pStyle w:val="Paragraphedeliste"/>
        <w:rPr>
          <w:lang w:val="fr-FR"/>
        </w:rPr>
      </w:pPr>
      <w:r w:rsidRPr="00FE2406">
        <w:rPr>
          <w:lang w:val="fr-FR"/>
        </w:rPr>
        <w:t>Tous les habitants sont invités à se joindre à cette 2</w:t>
      </w:r>
      <w:r w:rsidRPr="00FE2406">
        <w:rPr>
          <w:vertAlign w:val="superscript"/>
          <w:lang w:val="fr-FR"/>
        </w:rPr>
        <w:t>ème</w:t>
      </w:r>
      <w:r w:rsidRPr="00FE2406">
        <w:rPr>
          <w:lang w:val="fr-FR"/>
        </w:rPr>
        <w:t xml:space="preserve"> opération dont l’objectif est </w:t>
      </w:r>
      <w:r w:rsidR="00095F7A" w:rsidRPr="00FE2406">
        <w:rPr>
          <w:lang w:val="fr-FR"/>
        </w:rPr>
        <w:t xml:space="preserve">d’apprendre à identifier ces oiseaux et </w:t>
      </w:r>
      <w:r w:rsidR="00FE2406">
        <w:rPr>
          <w:lang w:val="fr-FR"/>
        </w:rPr>
        <w:t>de</w:t>
      </w:r>
      <w:r w:rsidR="00095F7A" w:rsidRPr="00FE2406">
        <w:rPr>
          <w:lang w:val="fr-FR"/>
        </w:rPr>
        <w:t xml:space="preserve"> </w:t>
      </w:r>
      <w:r w:rsidRPr="00FE2406">
        <w:rPr>
          <w:lang w:val="fr-FR"/>
        </w:rPr>
        <w:t xml:space="preserve">sensibiliser </w:t>
      </w:r>
      <w:r w:rsidR="00FE2406">
        <w:rPr>
          <w:lang w:val="fr-FR"/>
        </w:rPr>
        <w:t xml:space="preserve">les évrannais </w:t>
      </w:r>
      <w:r w:rsidRPr="00FE2406">
        <w:rPr>
          <w:lang w:val="fr-FR"/>
        </w:rPr>
        <w:t>à l’importance du maintien de ces populations dans nos bourgs et campagnes et aux moyens existants pour favoriser l’installation de nouveaux nids.</w:t>
      </w:r>
    </w:p>
    <w:p w:rsidR="006C1F7B" w:rsidRPr="006C1F7B" w:rsidRDefault="00C506B3" w:rsidP="006C1F7B">
      <w:pPr>
        <w:rPr>
          <w:lang w:val="fr-FR"/>
        </w:rPr>
      </w:pPr>
      <w:r>
        <w:rPr>
          <w:lang w:val="fr-FR"/>
        </w:rPr>
        <w:t>Sur ce sujet très important de la préservation de la petite faune de nos territoires</w:t>
      </w:r>
      <w:r w:rsidR="006C1F7B">
        <w:rPr>
          <w:lang w:val="fr-FR"/>
        </w:rPr>
        <w:t xml:space="preserve"> et l’</w:t>
      </w:r>
      <w:r w:rsidR="006C1F7B" w:rsidRPr="006C1F7B">
        <w:rPr>
          <w:lang w:val="fr-FR"/>
        </w:rPr>
        <w:t>intégr</w:t>
      </w:r>
      <w:r w:rsidR="006C1F7B">
        <w:rPr>
          <w:lang w:val="fr-FR"/>
        </w:rPr>
        <w:t>ation</w:t>
      </w:r>
      <w:r w:rsidR="006C1F7B" w:rsidRPr="006C1F7B">
        <w:rPr>
          <w:lang w:val="fr-FR"/>
        </w:rPr>
        <w:t xml:space="preserve"> </w:t>
      </w:r>
      <w:r w:rsidR="006C1F7B">
        <w:rPr>
          <w:lang w:val="fr-FR"/>
        </w:rPr>
        <w:t>de</w:t>
      </w:r>
      <w:r w:rsidR="006C1F7B" w:rsidRPr="006C1F7B">
        <w:rPr>
          <w:lang w:val="fr-FR"/>
        </w:rPr>
        <w:t xml:space="preserve"> la préservation de la biodiversité </w:t>
      </w:r>
      <w:r w:rsidR="006C1F7B">
        <w:rPr>
          <w:lang w:val="fr-FR"/>
        </w:rPr>
        <w:t>dans tout projet de travaux,</w:t>
      </w:r>
      <w:r>
        <w:rPr>
          <w:lang w:val="fr-FR"/>
        </w:rPr>
        <w:t xml:space="preserve"> la commune a établi une brochure d’information </w:t>
      </w:r>
      <w:r w:rsidR="006C1F7B" w:rsidRPr="006C1F7B">
        <w:rPr>
          <w:lang w:val="fr-FR"/>
        </w:rPr>
        <w:t>disponible en mairie ou en ligne sur le site internet</w:t>
      </w:r>
      <w:r w:rsidR="006C1F7B">
        <w:rPr>
          <w:lang w:val="fr-FR"/>
        </w:rPr>
        <w:t xml:space="preserve"> </w:t>
      </w:r>
      <w:r w:rsidR="006C1F7B" w:rsidRPr="006C1F7B">
        <w:rPr>
          <w:lang w:val="fr-FR"/>
        </w:rPr>
        <w:t>d’Evran</w:t>
      </w:r>
      <w:r w:rsidR="00FE2406">
        <w:rPr>
          <w:lang w:val="fr-FR"/>
        </w:rPr>
        <w:t> :</w:t>
      </w:r>
    </w:p>
    <w:p w:rsidR="00207652" w:rsidRDefault="006C1F7B" w:rsidP="00FE2406">
      <w:pPr>
        <w:jc w:val="center"/>
        <w:rPr>
          <w:rStyle w:val="markedcontent"/>
          <w:rFonts w:ascii="Arial" w:hAnsi="Arial" w:cs="Arial"/>
          <w:lang w:val="fr-FR"/>
        </w:rPr>
      </w:pPr>
      <w:r w:rsidRPr="006C1F7B">
        <w:rPr>
          <w:noProof/>
          <w:lang w:val="fr-FR"/>
        </w:rPr>
        <w:drawing>
          <wp:inline distT="0" distB="0" distL="0" distR="0" wp14:anchorId="217C280C" wp14:editId="49C7EF76">
            <wp:extent cx="3711262" cy="2400508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1262" cy="240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652" w:rsidRDefault="00207652">
      <w:pPr>
        <w:rPr>
          <w:rStyle w:val="markedcontent"/>
          <w:rFonts w:ascii="Arial" w:hAnsi="Arial" w:cs="Arial"/>
          <w:lang w:val="fr-FR"/>
        </w:rPr>
      </w:pPr>
      <w:r>
        <w:rPr>
          <w:rStyle w:val="markedcontent"/>
          <w:rFonts w:ascii="Arial" w:hAnsi="Arial" w:cs="Arial"/>
          <w:lang w:val="fr-FR"/>
        </w:rPr>
        <w:br w:type="page"/>
      </w:r>
    </w:p>
    <w:p w:rsidR="00207652" w:rsidRDefault="009432EC" w:rsidP="00207652">
      <w:pPr>
        <w:pStyle w:val="Paragraphedeliste"/>
        <w:ind w:left="-142"/>
        <w:rPr>
          <w:lang w:val="fr-FR"/>
        </w:rPr>
      </w:pPr>
      <w:proofErr w:type="gramStart"/>
      <w:r>
        <w:rPr>
          <w:lang w:val="fr-FR"/>
        </w:rPr>
        <w:lastRenderedPageBreak/>
        <w:t>VISUELS  DISPONIBLES</w:t>
      </w:r>
      <w:proofErr w:type="gramEnd"/>
      <w:r>
        <w:rPr>
          <w:lang w:val="fr-FR"/>
        </w:rPr>
        <w:t xml:space="preserve"> : </w:t>
      </w:r>
    </w:p>
    <w:p w:rsidR="009432EC" w:rsidRDefault="009432EC" w:rsidP="00207652">
      <w:pPr>
        <w:pStyle w:val="Paragraphedeliste"/>
        <w:ind w:left="-142"/>
        <w:rPr>
          <w:lang w:val="fr-FR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4553"/>
        <w:gridCol w:w="13"/>
        <w:gridCol w:w="4507"/>
        <w:gridCol w:w="136"/>
      </w:tblGrid>
      <w:tr w:rsidR="00207652" w:rsidTr="00766EB7">
        <w:trPr>
          <w:gridAfter w:val="1"/>
          <w:wAfter w:w="136" w:type="dxa"/>
        </w:trPr>
        <w:tc>
          <w:tcPr>
            <w:tcW w:w="4566" w:type="dxa"/>
            <w:gridSpan w:val="2"/>
          </w:tcPr>
          <w:p w:rsidR="00207652" w:rsidRDefault="00207652" w:rsidP="00766EB7">
            <w:pPr>
              <w:pStyle w:val="Paragraphedeliste"/>
              <w:tabs>
                <w:tab w:val="left" w:pos="60"/>
              </w:tabs>
              <w:ind w:left="0"/>
              <w:rPr>
                <w:lang w:val="fr-FR"/>
              </w:rPr>
            </w:pPr>
            <w:r w:rsidRPr="00426298">
              <w:rPr>
                <w:noProof/>
                <w:lang w:val="fr-FR"/>
              </w:rPr>
              <w:drawing>
                <wp:inline distT="0" distB="0" distL="0" distR="0" wp14:anchorId="2043A40A" wp14:editId="5DF8DF9C">
                  <wp:extent cx="2758679" cy="2156647"/>
                  <wp:effectExtent l="0" t="0" r="381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679" cy="2156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</w:tcPr>
          <w:p w:rsidR="00207652" w:rsidRDefault="00207652" w:rsidP="00766EB7">
            <w:pPr>
              <w:pStyle w:val="Paragraphedeliste"/>
              <w:tabs>
                <w:tab w:val="left" w:pos="60"/>
              </w:tabs>
              <w:ind w:left="-142"/>
              <w:rPr>
                <w:lang w:val="fr-FR"/>
              </w:rPr>
            </w:pPr>
            <w:r w:rsidRPr="00426298">
              <w:rPr>
                <w:noProof/>
                <w:lang w:val="fr-FR"/>
              </w:rPr>
              <w:drawing>
                <wp:inline distT="0" distB="0" distL="0" distR="0" wp14:anchorId="2FA7448E" wp14:editId="3EFDD01B">
                  <wp:extent cx="2560542" cy="2118544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542" cy="2118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652" w:rsidTr="00766EB7">
        <w:trPr>
          <w:gridAfter w:val="1"/>
          <w:wAfter w:w="136" w:type="dxa"/>
        </w:trPr>
        <w:tc>
          <w:tcPr>
            <w:tcW w:w="4566" w:type="dxa"/>
            <w:gridSpan w:val="2"/>
          </w:tcPr>
          <w:p w:rsidR="00207652" w:rsidRPr="004C0903" w:rsidRDefault="00207652" w:rsidP="00766EB7">
            <w:pPr>
              <w:pStyle w:val="Paragraphedeliste"/>
              <w:tabs>
                <w:tab w:val="left" w:pos="60"/>
              </w:tabs>
              <w:ind w:left="30"/>
              <w:rPr>
                <w:sz w:val="20"/>
                <w:szCs w:val="20"/>
                <w:lang w:val="fr-FR"/>
              </w:rPr>
            </w:pPr>
            <w:r w:rsidRPr="004C0903">
              <w:rPr>
                <w:b/>
                <w:sz w:val="20"/>
                <w:szCs w:val="20"/>
                <w:lang w:val="fr-FR"/>
              </w:rPr>
              <w:t>Hirondelle de fenêtre</w:t>
            </w:r>
            <w:r w:rsidRPr="004C0903">
              <w:rPr>
                <w:sz w:val="20"/>
                <w:szCs w:val="20"/>
                <w:lang w:val="fr-FR"/>
              </w:rPr>
              <w:t> :</w:t>
            </w:r>
          </w:p>
          <w:p w:rsidR="00207652" w:rsidRPr="004C0903" w:rsidRDefault="00207652" w:rsidP="00766EB7">
            <w:pPr>
              <w:pStyle w:val="Paragraphedeliste"/>
              <w:tabs>
                <w:tab w:val="left" w:pos="60"/>
              </w:tabs>
              <w:ind w:left="30"/>
              <w:rPr>
                <w:sz w:val="20"/>
                <w:szCs w:val="20"/>
                <w:lang w:val="fr-FR"/>
              </w:rPr>
            </w:pPr>
            <w:r w:rsidRPr="004C0903">
              <w:rPr>
                <w:sz w:val="20"/>
                <w:szCs w:val="20"/>
                <w:lang w:val="fr-FR"/>
              </w:rPr>
              <w:t>Niche à l’extérieur, sous l’avancée de toit. Très présente dans le bourg d’Evran.</w:t>
            </w:r>
          </w:p>
          <w:p w:rsidR="00207652" w:rsidRPr="00426298" w:rsidRDefault="00207652" w:rsidP="00766EB7">
            <w:pPr>
              <w:pStyle w:val="Paragraphedeliste"/>
              <w:tabs>
                <w:tab w:val="left" w:pos="60"/>
              </w:tabs>
              <w:ind w:left="30"/>
              <w:rPr>
                <w:lang w:val="fr-FR"/>
              </w:rPr>
            </w:pPr>
            <w:r w:rsidRPr="004C0903">
              <w:rPr>
                <w:sz w:val="20"/>
                <w:szCs w:val="20"/>
                <w:lang w:val="fr-FR"/>
              </w:rPr>
              <w:t>Très reconnaissable avec sa bande blanche au bas du dos</w:t>
            </w:r>
            <w:r>
              <w:rPr>
                <w:lang w:val="fr-FR"/>
              </w:rPr>
              <w:t>.</w:t>
            </w:r>
          </w:p>
        </w:tc>
        <w:tc>
          <w:tcPr>
            <w:tcW w:w="4507" w:type="dxa"/>
          </w:tcPr>
          <w:p w:rsidR="00207652" w:rsidRPr="004C0903" w:rsidRDefault="00207652" w:rsidP="00766EB7">
            <w:pPr>
              <w:pStyle w:val="Paragraphedeliste"/>
              <w:tabs>
                <w:tab w:val="left" w:pos="60"/>
              </w:tabs>
              <w:ind w:left="7"/>
              <w:rPr>
                <w:sz w:val="20"/>
                <w:szCs w:val="20"/>
                <w:lang w:val="fr-FR"/>
              </w:rPr>
            </w:pPr>
            <w:r w:rsidRPr="004C0903">
              <w:rPr>
                <w:b/>
                <w:sz w:val="20"/>
                <w:szCs w:val="20"/>
                <w:lang w:val="fr-FR"/>
              </w:rPr>
              <w:t>Hirondelle rustique</w:t>
            </w:r>
            <w:r w:rsidRPr="004C0903">
              <w:rPr>
                <w:sz w:val="20"/>
                <w:szCs w:val="20"/>
                <w:lang w:val="fr-FR"/>
              </w:rPr>
              <w:t> :</w:t>
            </w:r>
          </w:p>
          <w:p w:rsidR="00207652" w:rsidRPr="004C0903" w:rsidRDefault="00207652" w:rsidP="00766EB7">
            <w:pPr>
              <w:pStyle w:val="Paragraphedeliste"/>
              <w:tabs>
                <w:tab w:val="left" w:pos="60"/>
              </w:tabs>
              <w:ind w:left="7"/>
              <w:rPr>
                <w:sz w:val="20"/>
                <w:szCs w:val="20"/>
                <w:lang w:val="fr-FR"/>
              </w:rPr>
            </w:pPr>
            <w:r w:rsidRPr="004C0903">
              <w:rPr>
                <w:sz w:val="20"/>
                <w:szCs w:val="20"/>
                <w:lang w:val="fr-FR"/>
              </w:rPr>
              <w:t>Niche à l’intérieur d’un bâtiment (grange…)</w:t>
            </w:r>
          </w:p>
          <w:p w:rsidR="00207652" w:rsidRPr="00426298" w:rsidRDefault="00207652" w:rsidP="00766EB7">
            <w:pPr>
              <w:pStyle w:val="Paragraphedeliste"/>
              <w:tabs>
                <w:tab w:val="left" w:pos="60"/>
              </w:tabs>
              <w:ind w:left="7"/>
              <w:rPr>
                <w:lang w:val="fr-FR"/>
              </w:rPr>
            </w:pPr>
            <w:r w:rsidRPr="004C0903">
              <w:rPr>
                <w:sz w:val="20"/>
                <w:szCs w:val="20"/>
                <w:lang w:val="fr-FR"/>
              </w:rPr>
              <w:t>Présente principalement en campagne.</w:t>
            </w:r>
          </w:p>
        </w:tc>
      </w:tr>
      <w:tr w:rsidR="00207652" w:rsidRPr="00207652" w:rsidTr="00766EB7">
        <w:tc>
          <w:tcPr>
            <w:tcW w:w="4553" w:type="dxa"/>
            <w:tcBorders>
              <w:right w:val="single" w:sz="4" w:space="0" w:color="auto"/>
            </w:tcBorders>
          </w:tcPr>
          <w:p w:rsidR="00207652" w:rsidRDefault="00207652" w:rsidP="00766EB7">
            <w:pPr>
              <w:pStyle w:val="Paragraphedeliste"/>
              <w:ind w:left="-142"/>
              <w:rPr>
                <w:lang w:val="fr-FR"/>
              </w:rPr>
            </w:pPr>
            <w:r w:rsidRPr="005C29CF">
              <w:rPr>
                <w:noProof/>
                <w:lang w:val="fr-FR"/>
              </w:rPr>
              <w:drawing>
                <wp:inline distT="0" distB="0" distL="0" distR="0" wp14:anchorId="2A257174" wp14:editId="797E3A37">
                  <wp:extent cx="2844165" cy="193214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680" cy="193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652" w:rsidRDefault="00207652" w:rsidP="00766EB7">
            <w:pPr>
              <w:pStyle w:val="Paragraphedeliste"/>
              <w:ind w:left="164"/>
              <w:rPr>
                <w:lang w:val="fr-FR"/>
              </w:rPr>
            </w:pPr>
          </w:p>
          <w:p w:rsidR="00207652" w:rsidRDefault="00207652" w:rsidP="00766EB7">
            <w:pPr>
              <w:pStyle w:val="Paragraphedeliste"/>
              <w:ind w:left="164"/>
              <w:rPr>
                <w:lang w:val="fr-FR"/>
              </w:rPr>
            </w:pPr>
          </w:p>
          <w:p w:rsidR="00207652" w:rsidRDefault="00207652" w:rsidP="00766EB7">
            <w:pPr>
              <w:pStyle w:val="Paragraphedeliste"/>
              <w:ind w:left="164"/>
              <w:rPr>
                <w:lang w:val="fr-FR"/>
              </w:rPr>
            </w:pPr>
          </w:p>
          <w:p w:rsidR="00207652" w:rsidRPr="004C0903" w:rsidRDefault="00207652" w:rsidP="00766EB7">
            <w:pPr>
              <w:ind w:left="164"/>
              <w:rPr>
                <w:b/>
                <w:color w:val="00B050"/>
                <w:lang w:val="fr-FR"/>
              </w:rPr>
            </w:pPr>
          </w:p>
          <w:p w:rsidR="00207652" w:rsidRPr="005C29CF" w:rsidRDefault="00207652" w:rsidP="00766EB7">
            <w:pPr>
              <w:pStyle w:val="Paragraphedeliste"/>
              <w:ind w:left="-142"/>
              <w:rPr>
                <w:lang w:val="fr-FR"/>
              </w:rPr>
            </w:pPr>
          </w:p>
        </w:tc>
      </w:tr>
      <w:tr w:rsidR="00207652" w:rsidRPr="005C29CF" w:rsidTr="00766EB7">
        <w:trPr>
          <w:gridAfter w:val="3"/>
          <w:wAfter w:w="4656" w:type="dxa"/>
        </w:trPr>
        <w:tc>
          <w:tcPr>
            <w:tcW w:w="4553" w:type="dxa"/>
            <w:tcBorders>
              <w:right w:val="single" w:sz="4" w:space="0" w:color="auto"/>
            </w:tcBorders>
          </w:tcPr>
          <w:p w:rsidR="00207652" w:rsidRPr="004C0903" w:rsidRDefault="00207652" w:rsidP="00766EB7">
            <w:pPr>
              <w:pStyle w:val="Paragraphedeliste"/>
              <w:ind w:left="11"/>
              <w:rPr>
                <w:sz w:val="20"/>
                <w:szCs w:val="20"/>
                <w:lang w:val="fr-FR"/>
              </w:rPr>
            </w:pPr>
            <w:r w:rsidRPr="004C0903">
              <w:rPr>
                <w:b/>
                <w:sz w:val="20"/>
                <w:szCs w:val="20"/>
                <w:lang w:val="fr-FR"/>
              </w:rPr>
              <w:t>Martinet noir</w:t>
            </w:r>
            <w:r w:rsidRPr="004C0903">
              <w:rPr>
                <w:sz w:val="20"/>
                <w:szCs w:val="20"/>
                <w:lang w:val="fr-FR"/>
              </w:rPr>
              <w:t> :</w:t>
            </w:r>
          </w:p>
          <w:p w:rsidR="00207652" w:rsidRPr="004C0903" w:rsidRDefault="00207652" w:rsidP="00766EB7">
            <w:pPr>
              <w:pStyle w:val="Paragraphedeliste"/>
              <w:ind w:left="11"/>
              <w:rPr>
                <w:sz w:val="20"/>
                <w:szCs w:val="20"/>
                <w:lang w:val="fr-FR"/>
              </w:rPr>
            </w:pPr>
            <w:r w:rsidRPr="004C0903">
              <w:rPr>
                <w:sz w:val="20"/>
                <w:szCs w:val="20"/>
                <w:lang w:val="fr-FR"/>
              </w:rPr>
              <w:t>Niche dans les cavités de mur ou sous les toits.</w:t>
            </w:r>
          </w:p>
          <w:p w:rsidR="00207652" w:rsidRPr="004C0903" w:rsidRDefault="00207652" w:rsidP="00766EB7">
            <w:pPr>
              <w:pStyle w:val="Paragraphedeliste"/>
              <w:ind w:left="11"/>
              <w:rPr>
                <w:sz w:val="20"/>
                <w:szCs w:val="20"/>
                <w:lang w:val="fr-FR"/>
              </w:rPr>
            </w:pPr>
            <w:r w:rsidRPr="004C0903">
              <w:rPr>
                <w:sz w:val="20"/>
                <w:szCs w:val="20"/>
                <w:lang w:val="fr-FR"/>
              </w:rPr>
              <w:t>Queue plus courte que les hirondelles et ailes en forme d’arc.</w:t>
            </w:r>
          </w:p>
          <w:p w:rsidR="00207652" w:rsidRPr="005C29CF" w:rsidRDefault="00207652" w:rsidP="00766EB7">
            <w:pPr>
              <w:pStyle w:val="Paragraphedeliste"/>
              <w:ind w:left="11"/>
              <w:rPr>
                <w:lang w:val="fr-FR"/>
              </w:rPr>
            </w:pPr>
            <w:r w:rsidRPr="004C0903">
              <w:rPr>
                <w:sz w:val="20"/>
                <w:szCs w:val="20"/>
                <w:lang w:val="fr-FR"/>
              </w:rPr>
              <w:t>Ne se pose jamais (sauf pour couver et nourrir ses petits) !</w:t>
            </w:r>
          </w:p>
        </w:tc>
      </w:tr>
    </w:tbl>
    <w:p w:rsidR="006C1F7B" w:rsidRPr="00C506B3" w:rsidRDefault="006C1F7B">
      <w:pPr>
        <w:rPr>
          <w:lang w:val="fr-FR"/>
        </w:rPr>
      </w:pPr>
    </w:p>
    <w:sectPr w:rsidR="006C1F7B" w:rsidRPr="00C506B3" w:rsidSect="00FE24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F56F4"/>
    <w:multiLevelType w:val="hybridMultilevel"/>
    <w:tmpl w:val="EEA6101E"/>
    <w:lvl w:ilvl="0" w:tplc="72C80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2BA3"/>
    <w:multiLevelType w:val="hybridMultilevel"/>
    <w:tmpl w:val="6972AD56"/>
    <w:lvl w:ilvl="0" w:tplc="1DBE68C2">
      <w:start w:val="2"/>
      <w:numFmt w:val="bullet"/>
      <w:lvlText w:val="-"/>
      <w:lvlJc w:val="left"/>
      <w:pPr>
        <w:ind w:left="52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B3"/>
    <w:rsid w:val="00095F7A"/>
    <w:rsid w:val="00207652"/>
    <w:rsid w:val="003A5AC3"/>
    <w:rsid w:val="005256BA"/>
    <w:rsid w:val="006C1F7B"/>
    <w:rsid w:val="00780350"/>
    <w:rsid w:val="009432EC"/>
    <w:rsid w:val="009B6349"/>
    <w:rsid w:val="00C506B3"/>
    <w:rsid w:val="00CF5F35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4769"/>
  <w15:chartTrackingRefBased/>
  <w15:docId w15:val="{0D97233E-4959-417B-AC4E-4C1BA7AE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6C1F7B"/>
  </w:style>
  <w:style w:type="paragraph" w:styleId="Paragraphedeliste">
    <w:name w:val="List Paragraph"/>
    <w:basedOn w:val="Normal"/>
    <w:uiPriority w:val="34"/>
    <w:qFormat/>
    <w:rsid w:val="0020765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0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2023-05-15T08:39:00Z</dcterms:created>
  <dcterms:modified xsi:type="dcterms:W3CDTF">2023-05-15T08:47:00Z</dcterms:modified>
</cp:coreProperties>
</file>